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B036F5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358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0920BB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36F5" w:rsidRPr="00B036F5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3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0920BB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B036F5">
              <w:rPr>
                <w:sz w:val="28"/>
                <w:szCs w:val="28"/>
                <w:lang w:val="ru-RU"/>
              </w:rPr>
              <w:t xml:space="preserve"> февраля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B036F5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B036F5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574" w:rsidRDefault="002E7574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Default="00B036F5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6F5">
        <w:rPr>
          <w:rFonts w:ascii="Times New Roman" w:hAnsi="Times New Roman" w:cs="Times New Roman"/>
          <w:sz w:val="28"/>
          <w:szCs w:val="28"/>
        </w:rPr>
        <w:t xml:space="preserve">1. 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главы 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36F5">
        <w:rPr>
          <w:rFonts w:ascii="Times New Roman" w:hAnsi="Times New Roman" w:cs="Times New Roman"/>
          <w:sz w:val="28"/>
          <w:szCs w:val="28"/>
        </w:rPr>
        <w:t xml:space="preserve"> декабря  2018 года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B036F5">
        <w:rPr>
          <w:rFonts w:ascii="Times New Roman" w:hAnsi="Times New Roman" w:cs="Times New Roman"/>
          <w:sz w:val="28"/>
          <w:szCs w:val="28"/>
        </w:rPr>
        <w:t>,  код бюд</w:t>
      </w:r>
      <w:r w:rsidR="000920BB">
        <w:rPr>
          <w:rFonts w:ascii="Times New Roman" w:hAnsi="Times New Roman" w:cs="Times New Roman"/>
          <w:sz w:val="28"/>
          <w:szCs w:val="28"/>
        </w:rPr>
        <w:t>жетной классификации  000  2 02 2</w:t>
      </w:r>
      <w:r w:rsidRPr="00B036F5">
        <w:rPr>
          <w:rFonts w:ascii="Times New Roman" w:hAnsi="Times New Roman" w:cs="Times New Roman"/>
          <w:sz w:val="28"/>
          <w:szCs w:val="28"/>
        </w:rPr>
        <w:t xml:space="preserve">9999 10 0000 151 «Прочие </w:t>
      </w:r>
      <w:r w:rsidR="000920BB">
        <w:rPr>
          <w:rFonts w:ascii="Times New Roman" w:hAnsi="Times New Roman" w:cs="Times New Roman"/>
          <w:sz w:val="28"/>
          <w:szCs w:val="28"/>
        </w:rPr>
        <w:t>субсидии бюджетам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сельских поселений» следующим подвидом:</w:t>
      </w: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33"/>
        <w:gridCol w:w="7923"/>
      </w:tblGrid>
      <w:tr w:rsidR="002E7574" w:rsidRPr="002E7574" w:rsidTr="002E7574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574" w:rsidRPr="002E7574" w:rsidTr="002E7574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  <w:p w:rsidR="002E7574" w:rsidRPr="002E7574" w:rsidRDefault="002E7574" w:rsidP="002E7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2E7574" w:rsidRPr="002E7574" w:rsidRDefault="002E7574" w:rsidP="002E7574">
      <w:pPr>
        <w:pStyle w:val="a8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E7574">
        <w:rPr>
          <w:rFonts w:ascii="Times New Roman" w:hAnsi="Times New Roman" w:cs="Times New Roman"/>
          <w:sz w:val="28"/>
          <w:szCs w:val="28"/>
        </w:rPr>
        <w:t>код бюджетной классификации 000  2 02 49999 10 0000 150 «Прочие межбюджетные трансферты, передаваемые бюджетам сельских поселений» следующим подвидом:</w:t>
      </w: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33"/>
        <w:gridCol w:w="7923"/>
      </w:tblGrid>
      <w:tr w:rsidR="002E7574" w:rsidRPr="002E7574" w:rsidTr="002E7574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7574" w:rsidRPr="002E7574" w:rsidTr="002E7574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  <w:p w:rsidR="002E7574" w:rsidRPr="002E7574" w:rsidRDefault="002E7574" w:rsidP="002E7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74" w:rsidRPr="002E7574" w:rsidRDefault="002E7574" w:rsidP="002E75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757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36F5" w:rsidRDefault="00411F61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4. Настоящее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постановление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2E7574" w:rsidRPr="00B036F5" w:rsidRDefault="002E7574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74"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2E7574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920BB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16C80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2E7574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22E7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C12E8"/>
    <w:rsid w:val="008D5087"/>
    <w:rsid w:val="008D73E6"/>
    <w:rsid w:val="008E1140"/>
    <w:rsid w:val="008E4777"/>
    <w:rsid w:val="008E4ADA"/>
    <w:rsid w:val="00901151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0029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8</cp:revision>
  <cp:lastPrinted>2019-02-26T05:31:00Z</cp:lastPrinted>
  <dcterms:created xsi:type="dcterms:W3CDTF">2019-02-26T04:15:00Z</dcterms:created>
  <dcterms:modified xsi:type="dcterms:W3CDTF">2019-02-26T06:42:00Z</dcterms:modified>
</cp:coreProperties>
</file>