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26FE0" w:rsidRPr="007F2297" w:rsidTr="007F2297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F2297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26FE0" w:rsidRPr="007F2297" w:rsidRDefault="00226FE0" w:rsidP="007F2297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F805F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7F2297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EA489D5" wp14:editId="694897C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F2297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26FE0" w:rsidRPr="007F2297" w:rsidRDefault="00226FE0" w:rsidP="007F2297">
            <w:pPr>
              <w:pStyle w:val="1"/>
              <w:rPr>
                <w:b/>
              </w:rPr>
            </w:pPr>
          </w:p>
        </w:tc>
      </w:tr>
      <w:tr w:rsidR="00226FE0" w:rsidRPr="007F2297" w:rsidTr="007F2297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63516B" w:rsidRDefault="00804D42" w:rsidP="00CE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6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2018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й.</w:t>
            </w:r>
          </w:p>
          <w:p w:rsidR="00226FE0" w:rsidRPr="00CE187E" w:rsidRDefault="00804D42" w:rsidP="00804D4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r w:rsidR="0063516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Алкино-2 а.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</w:tc>
        <w:tc>
          <w:tcPr>
            <w:tcW w:w="2835" w:type="dxa"/>
            <w:gridSpan w:val="3"/>
          </w:tcPr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FE0" w:rsidRPr="00CE187E" w:rsidRDefault="00226FE0" w:rsidP="0063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4D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8" w:type="dxa"/>
          </w:tcPr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7F229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26FE0" w:rsidRDefault="00226FE0" w:rsidP="007F229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 w:rsidRPr="007F2297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804D42">
              <w:rPr>
                <w:sz w:val="28"/>
                <w:szCs w:val="28"/>
                <w:lang w:val="ru-RU"/>
              </w:rPr>
              <w:t>23 марта</w:t>
            </w:r>
            <w:r w:rsidRPr="00CE187E">
              <w:rPr>
                <w:sz w:val="28"/>
                <w:szCs w:val="28"/>
                <w:lang w:val="ru-RU"/>
              </w:rPr>
              <w:t xml:space="preserve"> </w:t>
            </w:r>
            <w:r w:rsidR="0063516B">
              <w:rPr>
                <w:sz w:val="28"/>
                <w:szCs w:val="28"/>
                <w:lang w:val="ru-RU" w:eastAsia="zh-CN"/>
              </w:rPr>
              <w:t>2018</w:t>
            </w:r>
            <w:r w:rsidRPr="00CE187E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63516B" w:rsidRPr="00CE187E" w:rsidRDefault="00804D42" w:rsidP="007F229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            </w:t>
            </w:r>
            <w:r w:rsidR="0063516B">
              <w:rPr>
                <w:sz w:val="28"/>
                <w:szCs w:val="28"/>
                <w:lang w:val="ru-RU" w:eastAsia="zh-CN"/>
              </w:rPr>
              <w:t>с. Алкино-2</w:t>
            </w: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26FE0" w:rsidRPr="007E3048" w:rsidRDefault="00226FE0" w:rsidP="003B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05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226FE0" w:rsidRPr="007F2297" w:rsidTr="0063516B">
        <w:trPr>
          <w:trHeight w:val="949"/>
        </w:trPr>
        <w:tc>
          <w:tcPr>
            <w:tcW w:w="3451" w:type="dxa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226FE0" w:rsidRPr="007F2297" w:rsidRDefault="00226FE0" w:rsidP="007F2297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226FE0" w:rsidRPr="007F2297" w:rsidRDefault="00226FE0" w:rsidP="007F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FE0" w:rsidRPr="007F2297" w:rsidRDefault="00226FE0" w:rsidP="007F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26FE0" w:rsidRPr="005971ED" w:rsidRDefault="00226FE0" w:rsidP="001D76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1E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804D42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Pr="005971ED">
        <w:rPr>
          <w:rFonts w:ascii="Times New Roman" w:hAnsi="Times New Roman" w:cs="Times New Roman"/>
          <w:b/>
          <w:bCs/>
          <w:sz w:val="28"/>
          <w:szCs w:val="28"/>
        </w:rPr>
        <w:t>й в Порядок администрирования доходов бюджета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Лесной </w:t>
      </w:r>
      <w:r w:rsidRPr="005971E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Чишминский район Республики Башкортостан, администрируемых администрацией се</w:t>
      </w:r>
      <w:r>
        <w:rPr>
          <w:rFonts w:ascii="Times New Roman" w:hAnsi="Times New Roman" w:cs="Times New Roman"/>
          <w:b/>
          <w:bCs/>
          <w:sz w:val="28"/>
          <w:szCs w:val="28"/>
        </w:rPr>
        <w:t>льского поселения Лесной</w:t>
      </w:r>
      <w:r w:rsidRPr="005971E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от 20 декабря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163</w:t>
      </w:r>
    </w:p>
    <w:p w:rsidR="00226FE0" w:rsidRPr="001D76E0" w:rsidRDefault="00226FE0" w:rsidP="001D76E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  <w:r w:rsidR="00CE187E">
        <w:rPr>
          <w:rFonts w:ascii="Times New Roman" w:hAnsi="Times New Roman" w:cs="Times New Roman"/>
          <w:sz w:val="28"/>
          <w:szCs w:val="28"/>
        </w:rPr>
        <w:t xml:space="preserve">   </w:t>
      </w:r>
      <w:r w:rsidRPr="001D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187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26FE0" w:rsidRDefault="00226FE0" w:rsidP="001D7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>1. </w:t>
      </w:r>
      <w:r w:rsidR="00804D42">
        <w:rPr>
          <w:rFonts w:ascii="Times New Roman" w:hAnsi="Times New Roman" w:cs="Times New Roman"/>
          <w:sz w:val="28"/>
          <w:szCs w:val="28"/>
        </w:rPr>
        <w:t>Исключить из приложения</w:t>
      </w:r>
      <w:r w:rsidRPr="001D76E0">
        <w:rPr>
          <w:rFonts w:ascii="Times New Roman" w:hAnsi="Times New Roman" w:cs="Times New Roman"/>
          <w:sz w:val="28"/>
          <w:szCs w:val="28"/>
        </w:rPr>
        <w:t xml:space="preserve"> №1 к Порядку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D76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D76E0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</w:t>
      </w:r>
      <w:r w:rsidR="00804D42">
        <w:rPr>
          <w:rFonts w:ascii="Times New Roman" w:hAnsi="Times New Roman" w:cs="Times New Roman"/>
          <w:sz w:val="28"/>
          <w:szCs w:val="28"/>
        </w:rPr>
        <w:t>публики Башкортостан  следующие коды</w:t>
      </w:r>
      <w:r w:rsidRPr="001D76E0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413"/>
      </w:tblGrid>
      <w:tr w:rsidR="00804D42" w:rsidRPr="00804D42" w:rsidTr="007145B7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2" w:rsidRPr="00804D42" w:rsidRDefault="00804D42" w:rsidP="0071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2" w:rsidRPr="00804D42" w:rsidRDefault="00804D42" w:rsidP="0071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42" w:rsidRPr="00804D42" w:rsidRDefault="00804D42" w:rsidP="0071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791 2 02 02088 10 0002 151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791 2 02 29999 10 7101 151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791 2 02 29999 10 7104 151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 на 2010 год)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791 2 02 29999 10 7105 151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подготовке объектов коммунального хозяйства к </w:t>
            </w:r>
            <w:r w:rsidRPr="0080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осенне-зимний период)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791 2 02 29999 10 7111 151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791 2 02 29999 10 7112 151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 на 2011-2015 годы")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791 2 02 29999 10 7113 151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791 2 02 29999 10 7114 151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791 2 02 29999 10 7115 151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791 2 02 29999 10 7135 151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791 2 0245144 10 0000 151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791 2 02 49999 10 7501 151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791 2 02 49999 10 7502 151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</w:t>
            </w:r>
            <w:r w:rsidRPr="0080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791 2 02 49999 10 7503 151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791 2 02 49999 10 7505 151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04D42" w:rsidRPr="00804D42" w:rsidTr="007145B7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791 2 02 90054 10 7301 151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за исключением отрицательных трансфертов)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2" w:rsidRPr="00804D42" w:rsidRDefault="00804D42" w:rsidP="007145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</w:tbl>
    <w:p w:rsidR="0063516B" w:rsidRDefault="0063516B" w:rsidP="001D7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FE0" w:rsidRDefault="00226FE0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 xml:space="preserve">2.  </w:t>
      </w:r>
      <w:proofErr w:type="gramStart"/>
      <w:r w:rsidRPr="001D7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6FE0" w:rsidRDefault="00226FE0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 с момента подписания.</w:t>
      </w:r>
    </w:p>
    <w:p w:rsidR="00CE187E" w:rsidRDefault="00CE187E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D42" w:rsidRDefault="00804D42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D42" w:rsidRPr="001D76E0" w:rsidRDefault="00804D42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FE0" w:rsidRPr="00CE187E" w:rsidRDefault="00CE187E" w:rsidP="00CE187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FE0" w:rsidRPr="00CE187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26FE0" w:rsidRPr="00CE187E" w:rsidRDefault="00CE187E" w:rsidP="00CE187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FE0" w:rsidRPr="00CE187E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Р.С. </w:t>
      </w:r>
      <w:proofErr w:type="spellStart"/>
      <w:r w:rsidR="00226FE0" w:rsidRPr="00CE187E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sectPr w:rsidR="00226FE0" w:rsidRPr="00CE187E" w:rsidSect="001D76E0">
      <w:pgSz w:w="11906" w:h="16838"/>
      <w:pgMar w:top="71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795"/>
    <w:rsid w:val="000C1909"/>
    <w:rsid w:val="000C468C"/>
    <w:rsid w:val="0013147A"/>
    <w:rsid w:val="00141EB8"/>
    <w:rsid w:val="0014228A"/>
    <w:rsid w:val="0014778B"/>
    <w:rsid w:val="00150177"/>
    <w:rsid w:val="00173820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6FE0"/>
    <w:rsid w:val="00227173"/>
    <w:rsid w:val="0024702D"/>
    <w:rsid w:val="002643E5"/>
    <w:rsid w:val="00271640"/>
    <w:rsid w:val="0027518D"/>
    <w:rsid w:val="00291A4F"/>
    <w:rsid w:val="002A0C2F"/>
    <w:rsid w:val="002A1364"/>
    <w:rsid w:val="002B2AA8"/>
    <w:rsid w:val="002C074D"/>
    <w:rsid w:val="002C7968"/>
    <w:rsid w:val="002E55A3"/>
    <w:rsid w:val="00300E72"/>
    <w:rsid w:val="00307877"/>
    <w:rsid w:val="00311593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549E2"/>
    <w:rsid w:val="0045710F"/>
    <w:rsid w:val="004735C7"/>
    <w:rsid w:val="00483CBB"/>
    <w:rsid w:val="00485404"/>
    <w:rsid w:val="00486328"/>
    <w:rsid w:val="004865FA"/>
    <w:rsid w:val="00493819"/>
    <w:rsid w:val="004B1D43"/>
    <w:rsid w:val="004D3ECF"/>
    <w:rsid w:val="004E55B0"/>
    <w:rsid w:val="004F4D88"/>
    <w:rsid w:val="005035D9"/>
    <w:rsid w:val="0050372C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1B4"/>
    <w:rsid w:val="005E5E94"/>
    <w:rsid w:val="005E7145"/>
    <w:rsid w:val="005F73D3"/>
    <w:rsid w:val="00606B51"/>
    <w:rsid w:val="006210DA"/>
    <w:rsid w:val="00622CCC"/>
    <w:rsid w:val="0063155E"/>
    <w:rsid w:val="0063516B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80098"/>
    <w:rsid w:val="007C041E"/>
    <w:rsid w:val="007C3379"/>
    <w:rsid w:val="007E05F3"/>
    <w:rsid w:val="007E12D3"/>
    <w:rsid w:val="007E1C0E"/>
    <w:rsid w:val="007E2638"/>
    <w:rsid w:val="007E3048"/>
    <w:rsid w:val="007F2297"/>
    <w:rsid w:val="007F7B19"/>
    <w:rsid w:val="00804D42"/>
    <w:rsid w:val="008332E0"/>
    <w:rsid w:val="0084019C"/>
    <w:rsid w:val="008609E6"/>
    <w:rsid w:val="00862DB2"/>
    <w:rsid w:val="00872B86"/>
    <w:rsid w:val="00893275"/>
    <w:rsid w:val="008C0EE2"/>
    <w:rsid w:val="008D5087"/>
    <w:rsid w:val="008E1140"/>
    <w:rsid w:val="008E4777"/>
    <w:rsid w:val="008E4ADA"/>
    <w:rsid w:val="009012A6"/>
    <w:rsid w:val="00914389"/>
    <w:rsid w:val="0092676E"/>
    <w:rsid w:val="00933DBB"/>
    <w:rsid w:val="00946A3A"/>
    <w:rsid w:val="00953B39"/>
    <w:rsid w:val="00957D84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F4972"/>
    <w:rsid w:val="00A10F36"/>
    <w:rsid w:val="00A1535B"/>
    <w:rsid w:val="00A273B1"/>
    <w:rsid w:val="00A27BA2"/>
    <w:rsid w:val="00A41329"/>
    <w:rsid w:val="00A554EF"/>
    <w:rsid w:val="00A64384"/>
    <w:rsid w:val="00A67A8C"/>
    <w:rsid w:val="00A82E21"/>
    <w:rsid w:val="00A84B77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B1E5E"/>
    <w:rsid w:val="00BB31BE"/>
    <w:rsid w:val="00BB5F11"/>
    <w:rsid w:val="00BF2FF6"/>
    <w:rsid w:val="00BF3BAA"/>
    <w:rsid w:val="00BF46B5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862F6"/>
    <w:rsid w:val="00C9151C"/>
    <w:rsid w:val="00C951DB"/>
    <w:rsid w:val="00C954A5"/>
    <w:rsid w:val="00CA5899"/>
    <w:rsid w:val="00CB1446"/>
    <w:rsid w:val="00CB1474"/>
    <w:rsid w:val="00CE187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5488A"/>
    <w:rsid w:val="00E601B8"/>
    <w:rsid w:val="00E62218"/>
    <w:rsid w:val="00E65904"/>
    <w:rsid w:val="00EB6552"/>
    <w:rsid w:val="00ED0DE2"/>
    <w:rsid w:val="00ED563F"/>
    <w:rsid w:val="00EF6BE2"/>
    <w:rsid w:val="00F06E84"/>
    <w:rsid w:val="00F17F4F"/>
    <w:rsid w:val="00F55115"/>
    <w:rsid w:val="00F55D30"/>
    <w:rsid w:val="00F56BF2"/>
    <w:rsid w:val="00F7786D"/>
    <w:rsid w:val="00F805F0"/>
    <w:rsid w:val="00F823CE"/>
    <w:rsid w:val="00F97CE8"/>
    <w:rsid w:val="00FA0A3B"/>
    <w:rsid w:val="00FA236E"/>
    <w:rsid w:val="00FE1789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E187E"/>
    <w:pPr>
      <w:ind w:left="720"/>
      <w:contextualSpacing/>
    </w:pPr>
  </w:style>
  <w:style w:type="paragraph" w:styleId="a9">
    <w:name w:val="No Spacing"/>
    <w:uiPriority w:val="1"/>
    <w:qFormat/>
    <w:rsid w:val="00CE187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E187E"/>
    <w:pPr>
      <w:ind w:left="720"/>
      <w:contextualSpacing/>
    </w:pPr>
  </w:style>
  <w:style w:type="paragraph" w:styleId="a9">
    <w:name w:val="No Spacing"/>
    <w:uiPriority w:val="1"/>
    <w:qFormat/>
    <w:rsid w:val="00CE187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2016-12-28T11:26:00Z</cp:lastPrinted>
  <dcterms:created xsi:type="dcterms:W3CDTF">2018-03-22T07:37:00Z</dcterms:created>
  <dcterms:modified xsi:type="dcterms:W3CDTF">2018-03-22T07:40:00Z</dcterms:modified>
</cp:coreProperties>
</file>